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CD989">
      <w:pPr>
        <w:jc w:val="left"/>
        <w:rPr>
          <w:rFonts w:hint="default" w:ascii="Times New Roman" w:hAnsi="Times New Roman" w:eastAsia="新宋体" w:cs="Times New Roman"/>
          <w:b w:val="0"/>
          <w:bCs/>
          <w:sz w:val="32"/>
          <w:szCs w:val="18"/>
          <w:lang w:val="en-US" w:eastAsia="zh-CN"/>
        </w:rPr>
      </w:pPr>
      <w:r>
        <w:rPr>
          <w:rFonts w:hint="default" w:ascii="Times New Roman" w:hAnsi="Times New Roman" w:eastAsia="新宋体" w:cs="Times New Roman"/>
          <w:b w:val="0"/>
          <w:bCs/>
          <w:sz w:val="32"/>
          <w:szCs w:val="18"/>
          <w:lang w:val="en-US" w:eastAsia="zh-CN"/>
        </w:rPr>
        <w:t>附件1</w:t>
      </w:r>
    </w:p>
    <w:p w14:paraId="0F255AD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_GBK" w:cs="Times New Roman"/>
          <w:sz w:val="32"/>
          <w:szCs w:val="32"/>
          <w:lang w:val="en-US" w:eastAsia="zh-CN"/>
        </w:rPr>
      </w:pPr>
      <w:r>
        <w:rPr>
          <w:rFonts w:hint="eastAsia" w:ascii="方正小标宋_GBK" w:hAnsi="方正小标宋_GBK" w:eastAsia="方正小标宋_GBK" w:cs="方正小标宋_GBK"/>
          <w:sz w:val="44"/>
          <w:szCs w:val="44"/>
          <w:lang w:val="en-US" w:eastAsia="zh-CN"/>
        </w:rPr>
        <w:t>2025年度资助课题规划指南</w:t>
      </w:r>
    </w:p>
    <w:p w14:paraId="75ABDEBD">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lang w:val="en-US" w:eastAsia="zh-CN"/>
        </w:rPr>
      </w:pPr>
    </w:p>
    <w:p w14:paraId="47149DD0">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（一）资助金额及结题要求</w:t>
      </w:r>
    </w:p>
    <w:p w14:paraId="4A09C8A1">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西南大学出版研究院</w:t>
      </w:r>
      <w:r>
        <w:rPr>
          <w:rFonts w:hint="eastAsia" w:ascii="Times New Roman" w:hAnsi="Times New Roman" w:eastAsia="方正仿宋_GBK" w:cs="Times New Roman"/>
          <w:color w:val="auto"/>
          <w:sz w:val="32"/>
          <w:szCs w:val="32"/>
          <w:lang w:val="en-US" w:eastAsia="zh-CN"/>
        </w:rPr>
        <w:t>是重庆市委宣传部、西南大学、重庆出版集团共建的</w:t>
      </w:r>
      <w:r>
        <w:rPr>
          <w:rFonts w:hint="default" w:ascii="Times New Roman" w:hAnsi="Times New Roman" w:eastAsia="方正仿宋_GBK" w:cs="Times New Roman"/>
          <w:color w:val="auto"/>
          <w:sz w:val="32"/>
          <w:szCs w:val="32"/>
          <w:lang w:val="en-US" w:eastAsia="zh-CN"/>
        </w:rPr>
        <w:t>专业研究机构</w:t>
      </w:r>
      <w:r>
        <w:rPr>
          <w:rFonts w:hint="eastAsia" w:ascii="Times New Roman" w:hAnsi="Times New Roman" w:eastAsia="方正仿宋_GBK" w:cs="Times New Roman"/>
          <w:color w:val="auto"/>
          <w:sz w:val="32"/>
          <w:szCs w:val="32"/>
          <w:lang w:val="en-US" w:eastAsia="zh-CN"/>
        </w:rPr>
        <w:t>。为深入研</w:t>
      </w:r>
      <w:bookmarkStart w:id="0" w:name="_GoBack"/>
      <w:bookmarkEnd w:id="0"/>
      <w:r>
        <w:rPr>
          <w:rFonts w:hint="eastAsia" w:ascii="Times New Roman" w:hAnsi="Times New Roman" w:eastAsia="方正仿宋_GBK" w:cs="Times New Roman"/>
          <w:color w:val="auto"/>
          <w:sz w:val="32"/>
          <w:szCs w:val="32"/>
          <w:lang w:val="en-US" w:eastAsia="zh-CN"/>
        </w:rPr>
        <w:t>究中国特色出版学基础理论，回应和解答数智融媒趋势中出版学科研究任务与出版行业发展变革的一系列理论与实践问题，切实推进出版学科建设，</w:t>
      </w:r>
      <w:r>
        <w:rPr>
          <w:rFonts w:hint="default" w:ascii="Times New Roman" w:hAnsi="Times New Roman" w:eastAsia="方正仿宋_GBK" w:cs="Times New Roman"/>
          <w:color w:val="auto"/>
          <w:sz w:val="32"/>
          <w:szCs w:val="32"/>
          <w:lang w:val="en-US" w:eastAsia="zh-CN"/>
        </w:rPr>
        <w:t>出版研究院</w:t>
      </w:r>
      <w:r>
        <w:rPr>
          <w:rFonts w:hint="eastAsia" w:ascii="Times New Roman" w:hAnsi="Times New Roman" w:eastAsia="方正仿宋_GBK" w:cs="Times New Roman"/>
          <w:color w:val="auto"/>
          <w:sz w:val="32"/>
          <w:szCs w:val="32"/>
          <w:lang w:val="en-US" w:eastAsia="zh-CN"/>
        </w:rPr>
        <w:t>启动“2025年度资助规划课题”申报工作。</w:t>
      </w:r>
    </w:p>
    <w:p w14:paraId="76CAF952">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2025年预计资助</w:t>
      </w:r>
      <w:r>
        <w:rPr>
          <w:rFonts w:hint="default" w:ascii="Times New Roman" w:hAnsi="Times New Roman" w:eastAsia="方正仿宋_GBK" w:cs="Times New Roman"/>
          <w:sz w:val="32"/>
          <w:szCs w:val="32"/>
        </w:rPr>
        <w:t>出版学科领域科研</w:t>
      </w:r>
      <w:r>
        <w:rPr>
          <w:rFonts w:hint="default" w:ascii="Times New Roman" w:hAnsi="Times New Roman" w:eastAsia="方正仿宋_GBK" w:cs="Times New Roman"/>
          <w:sz w:val="32"/>
          <w:szCs w:val="32"/>
          <w:lang w:val="en-US" w:eastAsia="zh-CN"/>
        </w:rPr>
        <w:t>课题10项，其中重点课题不超过2项（每项资助经费2万元），一般课题不超过8项（每</w:t>
      </w:r>
      <w:r>
        <w:rPr>
          <w:rFonts w:hint="eastAsia" w:ascii="Times New Roman" w:hAnsi="Times New Roman" w:eastAsia="方正仿宋_GBK" w:cs="Times New Roman"/>
          <w:sz w:val="32"/>
          <w:szCs w:val="32"/>
          <w:lang w:val="en-US" w:eastAsia="zh-CN"/>
        </w:rPr>
        <w:t>项</w:t>
      </w:r>
      <w:r>
        <w:rPr>
          <w:rFonts w:hint="default" w:ascii="Times New Roman" w:hAnsi="Times New Roman" w:eastAsia="方正仿宋_GBK" w:cs="Times New Roman"/>
          <w:sz w:val="32"/>
          <w:szCs w:val="32"/>
          <w:lang w:val="en-US" w:eastAsia="zh-CN"/>
        </w:rPr>
        <w:t>资助经费1万元）。重点课题结题条件为2项A2级或1项A1级成果（西南大学</w:t>
      </w:r>
      <w:r>
        <w:rPr>
          <w:rFonts w:hint="eastAsia" w:ascii="Times New Roman" w:hAnsi="Times New Roman" w:eastAsia="方正仿宋_GBK" w:cs="Times New Roman"/>
          <w:sz w:val="32"/>
          <w:szCs w:val="32"/>
          <w:lang w:val="en-US" w:eastAsia="zh-CN"/>
        </w:rPr>
        <w:t>科研</w:t>
      </w:r>
      <w:r>
        <w:rPr>
          <w:rFonts w:hint="default" w:ascii="Times New Roman" w:hAnsi="Times New Roman" w:eastAsia="方正仿宋_GBK" w:cs="Times New Roman"/>
          <w:sz w:val="32"/>
          <w:szCs w:val="32"/>
          <w:lang w:val="en-US" w:eastAsia="zh-CN"/>
        </w:rPr>
        <w:t>成果标准</w:t>
      </w:r>
      <w:r>
        <w:rPr>
          <w:rFonts w:hint="eastAsia" w:ascii="Times New Roman" w:hAnsi="Times New Roman" w:eastAsia="方正仿宋_GBK" w:cs="Times New Roman"/>
          <w:sz w:val="32"/>
          <w:szCs w:val="32"/>
          <w:lang w:val="en-US" w:eastAsia="zh-CN"/>
        </w:rPr>
        <w:t>，下同</w:t>
      </w:r>
      <w:r>
        <w:rPr>
          <w:rFonts w:hint="default" w:ascii="Times New Roman" w:hAnsi="Times New Roman" w:eastAsia="方正仿宋_GBK" w:cs="Times New Roman"/>
          <w:sz w:val="32"/>
          <w:szCs w:val="32"/>
          <w:lang w:val="en-US" w:eastAsia="zh-CN"/>
        </w:rPr>
        <w:t>），一般课题结题条件为1项A2级成果。如果重点课题到期无法达到结题条件，可申请按一般课题结题或申请延期一年执行。</w:t>
      </w:r>
    </w:p>
    <w:p w14:paraId="228A045F">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采用结果导向方式进行资助，即课题达到结题条件，通过验收后，按课题类别</w:t>
      </w:r>
      <w:r>
        <w:rPr>
          <w:rFonts w:hint="eastAsia" w:ascii="Times New Roman" w:hAnsi="Times New Roman" w:eastAsia="方正仿宋_GBK" w:cs="Times New Roman"/>
          <w:sz w:val="32"/>
          <w:szCs w:val="32"/>
          <w:lang w:val="en-US" w:eastAsia="zh-CN"/>
        </w:rPr>
        <w:t>采用</w:t>
      </w:r>
      <w:r>
        <w:rPr>
          <w:rFonts w:hint="default" w:ascii="Times New Roman" w:hAnsi="Times New Roman" w:eastAsia="方正仿宋_GBK" w:cs="Times New Roman"/>
          <w:sz w:val="32"/>
          <w:szCs w:val="32"/>
          <w:lang w:val="en-US" w:eastAsia="zh-CN"/>
        </w:rPr>
        <w:t>报销方式</w:t>
      </w:r>
      <w:r>
        <w:rPr>
          <w:rFonts w:hint="eastAsia" w:ascii="Times New Roman" w:hAnsi="Times New Roman" w:eastAsia="方正仿宋_GBK" w:cs="Times New Roman"/>
          <w:sz w:val="32"/>
          <w:szCs w:val="32"/>
          <w:lang w:val="en-US" w:eastAsia="zh-CN"/>
        </w:rPr>
        <w:t>进行</w:t>
      </w:r>
      <w:r>
        <w:rPr>
          <w:rFonts w:hint="default" w:ascii="Times New Roman" w:hAnsi="Times New Roman" w:eastAsia="方正仿宋_GBK" w:cs="Times New Roman"/>
          <w:sz w:val="32"/>
          <w:szCs w:val="32"/>
          <w:lang w:val="en-US" w:eastAsia="zh-CN"/>
        </w:rPr>
        <w:t>资助。</w:t>
      </w:r>
    </w:p>
    <w:p w14:paraId="5F42C773">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（二）2025年选题指南</w:t>
      </w:r>
    </w:p>
    <w:p w14:paraId="7EE753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textAlignment w:val="auto"/>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pPr>
      <w:r>
        <w:rPr>
          <w:rFonts w:hint="eastAsia" w:ascii="Times New Roman" w:hAnsi="Times New Roman" w:eastAsia="方正仿宋_GBK" w:cs="Times New Roman"/>
          <w:b w:val="0"/>
          <w:bCs w:val="0"/>
          <w:i w:val="0"/>
          <w:iCs w:val="0"/>
          <w:caps w:val="0"/>
          <w:color w:val="171A1D"/>
          <w:spacing w:val="0"/>
          <w:sz w:val="32"/>
          <w:szCs w:val="32"/>
          <w:shd w:val="clear" w:fill="FFFFFF"/>
          <w:lang w:val="en-US" w:eastAsia="zh-CN"/>
        </w:rPr>
        <w:t>1.</w:t>
      </w:r>
      <w:r>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t>出版学科</w:t>
      </w:r>
      <w:r>
        <w:rPr>
          <w:rFonts w:hint="eastAsia" w:ascii="Times New Roman" w:hAnsi="Times New Roman" w:eastAsia="方正仿宋_GBK" w:cs="Times New Roman"/>
          <w:b w:val="0"/>
          <w:bCs w:val="0"/>
          <w:i w:val="0"/>
          <w:iCs w:val="0"/>
          <w:caps w:val="0"/>
          <w:color w:val="171A1D"/>
          <w:spacing w:val="0"/>
          <w:sz w:val="32"/>
          <w:szCs w:val="32"/>
          <w:shd w:val="clear" w:fill="FFFFFF"/>
          <w:lang w:val="en-US" w:eastAsia="zh-CN"/>
        </w:rPr>
        <w:t>的</w:t>
      </w:r>
      <w:r>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t>自主知识体系构建</w:t>
      </w:r>
    </w:p>
    <w:p w14:paraId="5513C3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textAlignment w:val="auto"/>
        <w:rPr>
          <w:rFonts w:hint="default" w:ascii="Times New Roman" w:hAnsi="Times New Roman" w:eastAsia="方正仿宋_GBK" w:cs="Times New Roman"/>
          <w:b w:val="0"/>
          <w:bCs w:val="0"/>
          <w:color w:val="171A1D"/>
          <w:sz w:val="32"/>
          <w:szCs w:val="32"/>
          <w:lang w:val="en-US"/>
        </w:rPr>
      </w:pPr>
      <w:r>
        <w:rPr>
          <w:rFonts w:hint="eastAsia" w:ascii="Times New Roman" w:hAnsi="Times New Roman" w:eastAsia="方正仿宋_GBK" w:cs="Times New Roman"/>
          <w:b w:val="0"/>
          <w:bCs w:val="0"/>
          <w:i w:val="0"/>
          <w:iCs w:val="0"/>
          <w:caps w:val="0"/>
          <w:color w:val="171A1D"/>
          <w:spacing w:val="0"/>
          <w:sz w:val="32"/>
          <w:szCs w:val="32"/>
          <w:shd w:val="clear" w:fill="FFFFFF"/>
          <w:lang w:val="en-US" w:eastAsia="zh-CN"/>
        </w:rPr>
        <w:t>2.中外出版史比较研究</w:t>
      </w:r>
    </w:p>
    <w:p w14:paraId="55686AC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textAlignment w:val="auto"/>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pPr>
      <w:r>
        <w:rPr>
          <w:rFonts w:hint="eastAsia" w:ascii="Times New Roman" w:hAnsi="Times New Roman" w:eastAsia="方正仿宋_GBK" w:cs="Times New Roman"/>
          <w:b w:val="0"/>
          <w:bCs w:val="0"/>
          <w:i w:val="0"/>
          <w:iCs w:val="0"/>
          <w:caps w:val="0"/>
          <w:color w:val="171A1D"/>
          <w:spacing w:val="0"/>
          <w:sz w:val="32"/>
          <w:szCs w:val="32"/>
          <w:shd w:val="clear" w:fill="FFFFFF"/>
          <w:lang w:val="en-US" w:eastAsia="zh-CN"/>
        </w:rPr>
        <w:t>3.</w:t>
      </w:r>
      <w:r>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t>出版服务文化强国建设</w:t>
      </w:r>
    </w:p>
    <w:p w14:paraId="1D1544B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textAlignment w:val="auto"/>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pPr>
      <w:r>
        <w:rPr>
          <w:rFonts w:hint="eastAsia" w:ascii="Times New Roman" w:hAnsi="Times New Roman" w:eastAsia="方正仿宋_GBK" w:cs="Times New Roman"/>
          <w:b w:val="0"/>
          <w:bCs w:val="0"/>
          <w:i w:val="0"/>
          <w:iCs w:val="0"/>
          <w:caps w:val="0"/>
          <w:color w:val="171A1D"/>
          <w:spacing w:val="0"/>
          <w:sz w:val="32"/>
          <w:szCs w:val="32"/>
          <w:shd w:val="clear" w:fill="FFFFFF"/>
          <w:lang w:val="en-US" w:eastAsia="zh-CN"/>
        </w:rPr>
        <w:t>4.</w:t>
      </w:r>
      <w:r>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t>地方文化数字化保护</w:t>
      </w:r>
    </w:p>
    <w:p w14:paraId="799CAB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textAlignment w:val="auto"/>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pPr>
      <w:r>
        <w:rPr>
          <w:rFonts w:hint="eastAsia" w:ascii="Times New Roman" w:hAnsi="Times New Roman" w:eastAsia="方正仿宋_GBK" w:cs="Times New Roman"/>
          <w:b w:val="0"/>
          <w:bCs w:val="0"/>
          <w:i w:val="0"/>
          <w:iCs w:val="0"/>
          <w:caps w:val="0"/>
          <w:color w:val="171A1D"/>
          <w:spacing w:val="0"/>
          <w:sz w:val="32"/>
          <w:szCs w:val="32"/>
          <w:shd w:val="clear" w:fill="FFFFFF"/>
          <w:lang w:val="en-US" w:eastAsia="zh-CN"/>
        </w:rPr>
        <w:t>5.</w:t>
      </w:r>
      <w:r>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t>数智出版的理论体系与实践重构</w:t>
      </w:r>
    </w:p>
    <w:p w14:paraId="5E97EC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textAlignment w:val="auto"/>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pPr>
      <w:r>
        <w:rPr>
          <w:rFonts w:hint="eastAsia" w:ascii="Times New Roman" w:hAnsi="Times New Roman" w:eastAsia="方正仿宋_GBK" w:cs="Times New Roman"/>
          <w:b w:val="0"/>
          <w:bCs w:val="0"/>
          <w:i w:val="0"/>
          <w:iCs w:val="0"/>
          <w:caps w:val="0"/>
          <w:color w:val="171A1D"/>
          <w:spacing w:val="0"/>
          <w:sz w:val="32"/>
          <w:szCs w:val="32"/>
          <w:shd w:val="clear" w:fill="FFFFFF"/>
          <w:lang w:val="en-US" w:eastAsia="zh-CN"/>
        </w:rPr>
        <w:t>6.</w:t>
      </w:r>
      <w:r>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t>数智出版的技术逻辑</w:t>
      </w:r>
    </w:p>
    <w:p w14:paraId="375C272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textAlignment w:val="auto"/>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pPr>
      <w:r>
        <w:rPr>
          <w:rFonts w:hint="eastAsia" w:ascii="Times New Roman" w:hAnsi="Times New Roman" w:eastAsia="方正仿宋_GBK" w:cs="Times New Roman"/>
          <w:b w:val="0"/>
          <w:bCs w:val="0"/>
          <w:i w:val="0"/>
          <w:iCs w:val="0"/>
          <w:caps w:val="0"/>
          <w:color w:val="171A1D"/>
          <w:spacing w:val="0"/>
          <w:sz w:val="32"/>
          <w:szCs w:val="32"/>
          <w:shd w:val="clear" w:fill="FFFFFF"/>
          <w:lang w:val="en-US" w:eastAsia="zh-CN"/>
        </w:rPr>
        <w:t>7.数智</w:t>
      </w:r>
      <w:r>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t>出版传播效果与分众化</w:t>
      </w:r>
    </w:p>
    <w:p w14:paraId="20084B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textAlignment w:val="auto"/>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pPr>
      <w:r>
        <w:rPr>
          <w:rFonts w:hint="eastAsia" w:ascii="Times New Roman" w:hAnsi="Times New Roman" w:eastAsia="方正仿宋_GBK" w:cs="Times New Roman"/>
          <w:b w:val="0"/>
          <w:bCs w:val="0"/>
          <w:i w:val="0"/>
          <w:iCs w:val="0"/>
          <w:caps w:val="0"/>
          <w:color w:val="171A1D"/>
          <w:spacing w:val="0"/>
          <w:sz w:val="32"/>
          <w:szCs w:val="32"/>
          <w:shd w:val="clear" w:fill="FFFFFF"/>
          <w:lang w:val="en-US" w:eastAsia="zh-CN"/>
        </w:rPr>
        <w:t>8.</w:t>
      </w:r>
      <w:r>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t>数智出版的商业模式</w:t>
      </w:r>
      <w:r>
        <w:rPr>
          <w:rFonts w:hint="eastAsia" w:ascii="Times New Roman" w:hAnsi="Times New Roman" w:eastAsia="方正仿宋_GBK" w:cs="Times New Roman"/>
          <w:b w:val="0"/>
          <w:bCs w:val="0"/>
          <w:i w:val="0"/>
          <w:iCs w:val="0"/>
          <w:caps w:val="0"/>
          <w:color w:val="171A1D"/>
          <w:spacing w:val="0"/>
          <w:sz w:val="32"/>
          <w:szCs w:val="32"/>
          <w:shd w:val="clear" w:fill="FFFFFF"/>
          <w:lang w:val="en-US" w:eastAsia="zh-CN"/>
        </w:rPr>
        <w:t>、</w:t>
      </w:r>
      <w:r>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t>数字内容消费行为</w:t>
      </w:r>
      <w:r>
        <w:rPr>
          <w:rFonts w:hint="eastAsia" w:ascii="Times New Roman" w:hAnsi="Times New Roman" w:eastAsia="方正仿宋_GBK" w:cs="Times New Roman"/>
          <w:b w:val="0"/>
          <w:bCs w:val="0"/>
          <w:i w:val="0"/>
          <w:iCs w:val="0"/>
          <w:caps w:val="0"/>
          <w:color w:val="171A1D"/>
          <w:spacing w:val="0"/>
          <w:sz w:val="32"/>
          <w:szCs w:val="32"/>
          <w:shd w:val="clear" w:fill="FFFFFF"/>
          <w:lang w:val="en-US" w:eastAsia="zh-CN"/>
        </w:rPr>
        <w:t>与服务体系构建</w:t>
      </w:r>
    </w:p>
    <w:p w14:paraId="08CDF9D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textAlignment w:val="auto"/>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pPr>
      <w:r>
        <w:rPr>
          <w:rFonts w:hint="eastAsia" w:ascii="Times New Roman" w:hAnsi="Times New Roman" w:eastAsia="方正仿宋_GBK" w:cs="Times New Roman"/>
          <w:b w:val="0"/>
          <w:bCs w:val="0"/>
          <w:i w:val="0"/>
          <w:iCs w:val="0"/>
          <w:caps w:val="0"/>
          <w:color w:val="171A1D"/>
          <w:spacing w:val="0"/>
          <w:sz w:val="32"/>
          <w:szCs w:val="32"/>
          <w:shd w:val="clear" w:fill="FFFFFF"/>
          <w:lang w:val="en-US" w:eastAsia="zh-CN"/>
        </w:rPr>
        <w:t>9.</w:t>
      </w:r>
      <w:r>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t>融合出版模式</w:t>
      </w:r>
    </w:p>
    <w:p w14:paraId="3EB8192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textAlignment w:val="auto"/>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pPr>
      <w:r>
        <w:rPr>
          <w:rFonts w:hint="eastAsia" w:ascii="Times New Roman" w:hAnsi="Times New Roman" w:eastAsia="方正仿宋_GBK" w:cs="Times New Roman"/>
          <w:b w:val="0"/>
          <w:bCs w:val="0"/>
          <w:i w:val="0"/>
          <w:iCs w:val="0"/>
          <w:caps w:val="0"/>
          <w:color w:val="171A1D"/>
          <w:spacing w:val="0"/>
          <w:sz w:val="32"/>
          <w:szCs w:val="32"/>
          <w:shd w:val="clear" w:fill="FFFFFF"/>
          <w:lang w:val="en-US" w:eastAsia="zh-CN"/>
        </w:rPr>
        <w:t>10.</w:t>
      </w:r>
      <w:r>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t>出版业数智营销</w:t>
      </w:r>
    </w:p>
    <w:p w14:paraId="040473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textAlignment w:val="auto"/>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pPr>
      <w:r>
        <w:rPr>
          <w:rFonts w:hint="eastAsia" w:ascii="Times New Roman" w:hAnsi="Times New Roman" w:eastAsia="方正仿宋_GBK" w:cs="Times New Roman"/>
          <w:b w:val="0"/>
          <w:bCs w:val="0"/>
          <w:i w:val="0"/>
          <w:iCs w:val="0"/>
          <w:caps w:val="0"/>
          <w:color w:val="171A1D"/>
          <w:spacing w:val="0"/>
          <w:sz w:val="32"/>
          <w:szCs w:val="32"/>
          <w:shd w:val="clear" w:fill="FFFFFF"/>
          <w:lang w:val="en-US" w:eastAsia="zh-CN"/>
        </w:rPr>
        <w:t>11.</w:t>
      </w:r>
      <w:r>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t>出版国际传播能力建设</w:t>
      </w:r>
    </w:p>
    <w:p w14:paraId="6A257E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textAlignment w:val="auto"/>
        <w:rPr>
          <w:rFonts w:hint="default" w:ascii="Times New Roman" w:hAnsi="Times New Roman" w:eastAsia="方正仿宋_GBK" w:cs="Times New Roman"/>
          <w:b w:val="0"/>
          <w:bCs w:val="0"/>
          <w:i w:val="0"/>
          <w:iCs w:val="0"/>
          <w:caps w:val="0"/>
          <w:color w:val="171A1D"/>
          <w:spacing w:val="0"/>
          <w:sz w:val="32"/>
          <w:szCs w:val="32"/>
          <w:shd w:val="clear" w:fill="FFFFFF"/>
        </w:rPr>
      </w:pPr>
      <w:r>
        <w:rPr>
          <w:rFonts w:hint="eastAsia" w:ascii="Times New Roman" w:hAnsi="Times New Roman" w:eastAsia="方正仿宋_GBK" w:cs="Times New Roman"/>
          <w:b w:val="0"/>
          <w:bCs w:val="0"/>
          <w:i w:val="0"/>
          <w:iCs w:val="0"/>
          <w:caps w:val="0"/>
          <w:color w:val="171A1D"/>
          <w:spacing w:val="0"/>
          <w:sz w:val="32"/>
          <w:szCs w:val="32"/>
          <w:shd w:val="clear" w:fill="FFFFFF"/>
          <w:lang w:val="en-US" w:eastAsia="zh-CN"/>
        </w:rPr>
        <w:t>12.</w:t>
      </w:r>
      <w:r>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t>交互式出版</w:t>
      </w:r>
      <w:r>
        <w:rPr>
          <w:rFonts w:hint="default" w:ascii="Times New Roman" w:hAnsi="Times New Roman" w:eastAsia="方正仿宋_GBK" w:cs="Times New Roman"/>
          <w:b w:val="0"/>
          <w:bCs w:val="0"/>
          <w:i w:val="0"/>
          <w:iCs w:val="0"/>
          <w:caps w:val="0"/>
          <w:color w:val="171A1D"/>
          <w:spacing w:val="0"/>
          <w:sz w:val="32"/>
          <w:szCs w:val="32"/>
          <w:shd w:val="clear" w:fill="FFFFFF"/>
        </w:rPr>
        <w:t>设计与市场适配性</w:t>
      </w:r>
    </w:p>
    <w:p w14:paraId="65B7D4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textAlignment w:val="auto"/>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pP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13.重庆出版行业亟需解决的理论和现实问题</w:t>
      </w:r>
    </w:p>
    <w:p w14:paraId="21AEF75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textAlignment w:val="auto"/>
        <w:rPr>
          <w:rFonts w:hint="default" w:ascii="Times New Roman" w:hAnsi="Times New Roman" w:eastAsia="方正仿宋_GBK" w:cs="Times New Roman"/>
          <w:b w:val="0"/>
          <w:bCs w:val="0"/>
          <w:color w:val="171A1D"/>
          <w:sz w:val="32"/>
          <w:szCs w:val="32"/>
          <w:lang w:val="en-US"/>
        </w:rPr>
      </w:pPr>
      <w:r>
        <w:rPr>
          <w:rFonts w:hint="eastAsia" w:ascii="Times New Roman" w:hAnsi="Times New Roman" w:eastAsia="方正仿宋_GBK" w:cs="Times New Roman"/>
          <w:b w:val="0"/>
          <w:bCs w:val="0"/>
          <w:i w:val="0"/>
          <w:iCs w:val="0"/>
          <w:caps w:val="0"/>
          <w:color w:val="171A1D"/>
          <w:spacing w:val="0"/>
          <w:sz w:val="32"/>
          <w:szCs w:val="32"/>
          <w:shd w:val="clear" w:fill="FFFFFF"/>
          <w:lang w:val="en-US" w:eastAsia="zh-CN"/>
        </w:rPr>
        <w:t>14.其他</w:t>
      </w:r>
      <w:r>
        <w:rPr>
          <w:rFonts w:hint="default" w:ascii="Times New Roman" w:hAnsi="Times New Roman" w:eastAsia="方正仿宋_GBK" w:cs="Times New Roman"/>
          <w:b w:val="0"/>
          <w:bCs w:val="0"/>
          <w:i w:val="0"/>
          <w:iCs w:val="0"/>
          <w:caps w:val="0"/>
          <w:color w:val="171A1D"/>
          <w:spacing w:val="0"/>
          <w:sz w:val="32"/>
          <w:szCs w:val="32"/>
          <w:shd w:val="clear" w:fill="FFFFFF"/>
          <w:lang w:val="en-US" w:eastAsia="zh-CN"/>
        </w:rPr>
        <w:t>自选</w:t>
      </w:r>
      <w:r>
        <w:rPr>
          <w:rFonts w:hint="eastAsia" w:ascii="Times New Roman" w:hAnsi="Times New Roman" w:eastAsia="方正仿宋_GBK" w:cs="Times New Roman"/>
          <w:b w:val="0"/>
          <w:bCs w:val="0"/>
          <w:i w:val="0"/>
          <w:iCs w:val="0"/>
          <w:caps w:val="0"/>
          <w:color w:val="171A1D"/>
          <w:spacing w:val="0"/>
          <w:sz w:val="32"/>
          <w:szCs w:val="32"/>
          <w:shd w:val="clear" w:fill="FFFFFF"/>
          <w:lang w:val="en-US" w:eastAsia="zh-CN"/>
        </w:rPr>
        <w:t>课题，需与下列领域相关：出版史论与出版文化，数智出版与知识服务，融合出版与国际传播</w:t>
      </w:r>
    </w:p>
    <w:p w14:paraId="15E66AFF"/>
    <w:sectPr>
      <w:pgSz w:w="11907" w:h="16840"/>
      <w:pgMar w:top="2098" w:right="1531" w:bottom="1822" w:left="1531" w:header="851" w:footer="1531" w:gutter="0"/>
      <w:cols w:space="720" w:num="1"/>
      <w:rtlGutter w:val="0"/>
      <w:docGrid w:type="lines" w:linePitch="63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922E6"/>
    <w:rsid w:val="37351E95"/>
    <w:rsid w:val="640475A9"/>
    <w:rsid w:val="6CC92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2025-10-10T00:58:00Z</dcterms:created>
  <dc:creator>郑婷</dc:creator>
  <cp:lastModifiedBy>郑婷</cp:lastModifiedBy>
  <dcterms:modified xsi:type="dcterms:W3CDTF">2025-10-10T00:59:08Z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F559074B84344A0A8F930C55BEA918FE_11</vt:lpwstr>
  </property>
  <property fmtid="{D5CDD505-2E9C-101B-9397-08002B2CF9AE}" pid="4" name="KSOTemplateDocerSaveRecord">
    <vt:lpwstr>eyJoZGlkIjoiOGIxYmVkMzhmMmExZmZhZDM0ZWQ0YmRmYWMwYTA3YTkiLCJ1c2VySWQiOiIxNTczOTYwMTQ4In0=</vt:lpwstr>
  </property>
</Properties>
</file>